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1E" w:rsidRDefault="00333E75">
      <w:r>
        <w:t xml:space="preserve">Guillaume Lebrun </w:t>
      </w:r>
    </w:p>
    <w:p w:rsidR="00333E75" w:rsidRDefault="00333E75">
      <w:r>
        <w:t>”</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Dear Marc, dear all,</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Thanks a lot for the draft section 6. It looks very good.</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I have two comments:</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It is important to note that the section 6 will not only be derived from section 4 but also from the methodology as discussed under Morgan's lead. It is not trivial to turn section 4 into a note per regulatory option/criterion, but it sounds like we are on a good path.</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 xml:space="preserve">One of your questions for regulatory options 2 and </w:t>
      </w:r>
      <w:proofErr w:type="gramStart"/>
      <w:r w:rsidRPr="00333E75">
        <w:rPr>
          <w:rFonts w:ascii="Verdana" w:eastAsia="Times New Roman" w:hAnsi="Verdana" w:cs="Times New Roman"/>
          <w:color w:val="000000"/>
          <w:sz w:val="18"/>
          <w:szCs w:val="18"/>
          <w:lang w:val="en-US" w:eastAsia="da-DK"/>
        </w:rPr>
        <w:t>3,</w:t>
      </w:r>
      <w:proofErr w:type="gramEnd"/>
      <w:r w:rsidRPr="00333E75">
        <w:rPr>
          <w:rFonts w:ascii="Verdana" w:eastAsia="Times New Roman" w:hAnsi="Verdana" w:cs="Times New Roman"/>
          <w:color w:val="000000"/>
          <w:sz w:val="18"/>
          <w:szCs w:val="18"/>
          <w:lang w:val="en-US" w:eastAsia="da-DK"/>
        </w:rPr>
        <w:t xml:space="preserve"> is to ask whether we should consider 'other applications'. This is discussed right now in Morgan's group. My proposal was </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 xml:space="preserve">a) </w:t>
      </w:r>
      <w:proofErr w:type="gramStart"/>
      <w:r w:rsidRPr="00333E75">
        <w:rPr>
          <w:rFonts w:ascii="Verdana" w:eastAsia="Times New Roman" w:hAnsi="Verdana" w:cs="Times New Roman"/>
          <w:color w:val="000000"/>
          <w:sz w:val="18"/>
          <w:szCs w:val="18"/>
          <w:lang w:val="en-US" w:eastAsia="da-DK"/>
        </w:rPr>
        <w:t>that</w:t>
      </w:r>
      <w:proofErr w:type="gramEnd"/>
      <w:r w:rsidRPr="00333E75">
        <w:rPr>
          <w:rFonts w:ascii="Verdana" w:eastAsia="Times New Roman" w:hAnsi="Verdana" w:cs="Times New Roman"/>
          <w:color w:val="000000"/>
          <w:sz w:val="18"/>
          <w:szCs w:val="18"/>
          <w:lang w:val="en-US" w:eastAsia="da-DK"/>
        </w:rPr>
        <w:t xml:space="preserve"> only the 'main proposed application' should be judged with 'national options' coming into play for criterion 2, </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proofErr w:type="gramStart"/>
      <w:r w:rsidRPr="00333E75">
        <w:rPr>
          <w:rFonts w:ascii="Verdana" w:eastAsia="Times New Roman" w:hAnsi="Verdana" w:cs="Times New Roman"/>
          <w:color w:val="000000"/>
          <w:sz w:val="18"/>
          <w:szCs w:val="18"/>
          <w:lang w:val="en-US" w:eastAsia="da-DK"/>
        </w:rPr>
        <w:t>b</w:t>
      </w:r>
      <w:proofErr w:type="gramEnd"/>
      <w:r w:rsidRPr="00333E75">
        <w:rPr>
          <w:rFonts w:ascii="Verdana" w:eastAsia="Times New Roman" w:hAnsi="Verdana" w:cs="Times New Roman"/>
          <w:color w:val="000000"/>
          <w:sz w:val="18"/>
          <w:szCs w:val="18"/>
          <w:lang w:val="en-US" w:eastAsia="da-DK"/>
        </w:rPr>
        <w:t>) that, for regulatory option 3, we need to identify the 'main proposed application' for the spectrum not used by BDA2GC. I assume the application selected (either PMSE, PPDR, Terrestrial broadcast or satellite broadcast) would be the one giving the most points to the option, while keeping in mind that the adoption of the said application would not be mandatory at national level (maintain flexibility). It would just be the 'proxy application' to end up with a single note for regulatory option 3.</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Obviously I don't want to replicate the discussion in the other group but just wanted to flag that the discussion is on-going there and that at least one solution has been proposed.</w:t>
      </w:r>
    </w:p>
    <w:p w:rsidR="00333E75" w:rsidRDefault="00333E75" w:rsidP="00333E75">
      <w:pPr>
        <w:spacing w:after="75" w:line="240" w:lineRule="auto"/>
        <w:rPr>
          <w:rFonts w:ascii="Verdana" w:eastAsia="Times New Roman" w:hAnsi="Verdana" w:cs="Times New Roman"/>
          <w:color w:val="000000"/>
          <w:sz w:val="18"/>
          <w:szCs w:val="18"/>
          <w:lang w:eastAsia="da-DK"/>
        </w:rPr>
      </w:pPr>
    </w:p>
    <w:p w:rsidR="00333E75" w:rsidRPr="00333E75" w:rsidRDefault="00333E75" w:rsidP="00333E75">
      <w:pPr>
        <w:spacing w:after="75" w:line="240" w:lineRule="auto"/>
        <w:rPr>
          <w:rFonts w:ascii="Verdana" w:eastAsia="Times New Roman" w:hAnsi="Verdana" w:cs="Times New Roman"/>
          <w:color w:val="000000"/>
          <w:sz w:val="18"/>
          <w:szCs w:val="18"/>
          <w:lang w:eastAsia="da-DK"/>
        </w:rPr>
      </w:pPr>
      <w:r w:rsidRPr="00333E75">
        <w:rPr>
          <w:rFonts w:ascii="Verdana" w:eastAsia="Times New Roman" w:hAnsi="Verdana" w:cs="Times New Roman"/>
          <w:color w:val="000000"/>
          <w:sz w:val="18"/>
          <w:szCs w:val="18"/>
          <w:lang w:eastAsia="da-DK"/>
        </w:rPr>
        <w:t>Guillaume</w:t>
      </w:r>
    </w:p>
    <w:p w:rsidR="00333E75" w:rsidRDefault="00333E75">
      <w:r>
        <w:t>”</w:t>
      </w:r>
    </w:p>
    <w:p w:rsidR="00333E75" w:rsidRDefault="00333E75">
      <w:r>
        <w:t>_______________________________________________________________________________________</w:t>
      </w:r>
    </w:p>
    <w:p w:rsidR="00333E75" w:rsidRDefault="00333E75">
      <w:r>
        <w:t>Thomas Rosowski</w:t>
      </w:r>
    </w:p>
    <w:p w:rsidR="00333E75" w:rsidRPr="00333E75" w:rsidRDefault="00333E75" w:rsidP="00333E75">
      <w:pPr>
        <w:pStyle w:val="NormalWeb"/>
        <w:spacing w:before="0" w:beforeAutospacing="0" w:after="120" w:afterAutospacing="0"/>
        <w:ind w:right="23"/>
        <w:rPr>
          <w:rFonts w:ascii="Verdana" w:eastAsiaTheme="minorHAnsi" w:hAnsi="Verdana" w:cstheme="minorBidi"/>
          <w:sz w:val="18"/>
          <w:szCs w:val="18"/>
          <w:lang w:eastAsia="en-US"/>
        </w:rPr>
      </w:pPr>
      <w:r w:rsidRPr="00333E75">
        <w:rPr>
          <w:rFonts w:ascii="Verdana" w:eastAsiaTheme="minorHAnsi" w:hAnsi="Verdana" w:cstheme="minorBidi"/>
          <w:sz w:val="18"/>
          <w:szCs w:val="18"/>
          <w:lang w:eastAsia="en-US"/>
        </w:rPr>
        <w:t>”</w:t>
      </w:r>
    </w:p>
    <w:p w:rsidR="00333E75" w:rsidRPr="00333E75" w:rsidRDefault="00333E75" w:rsidP="00333E75">
      <w:pPr>
        <w:pStyle w:val="NormalWeb"/>
        <w:spacing w:before="0" w:beforeAutospacing="0" w:after="120" w:afterAutospacing="0"/>
        <w:ind w:right="23"/>
        <w:rPr>
          <w:rFonts w:ascii="Verdana" w:hAnsi="Verdana"/>
          <w:color w:val="000000"/>
          <w:sz w:val="18"/>
          <w:szCs w:val="18"/>
          <w:lang w:val="en-US"/>
        </w:rPr>
      </w:pPr>
      <w:r w:rsidRPr="00333E75">
        <w:rPr>
          <w:rFonts w:ascii="Verdana" w:hAnsi="Verdana"/>
          <w:color w:val="000000"/>
          <w:sz w:val="18"/>
          <w:szCs w:val="18"/>
          <w:lang w:val="en"/>
        </w:rPr>
        <w:t xml:space="preserve">Dear Colleagues. </w:t>
      </w:r>
    </w:p>
    <w:p w:rsidR="00333E75" w:rsidRPr="00333E75" w:rsidRDefault="00333E75" w:rsidP="00333E75">
      <w:pPr>
        <w:pStyle w:val="NormalWeb"/>
        <w:spacing w:before="12" w:beforeAutospacing="0" w:after="120" w:afterAutospacing="0"/>
        <w:ind w:left="24" w:right="23"/>
        <w:rPr>
          <w:rFonts w:ascii="Verdana" w:hAnsi="Verdana"/>
          <w:color w:val="000000"/>
          <w:sz w:val="18"/>
          <w:szCs w:val="18"/>
          <w:lang w:val="en-US"/>
        </w:rPr>
      </w:pPr>
      <w:r w:rsidRPr="00333E75">
        <w:rPr>
          <w:rFonts w:ascii="Verdana" w:hAnsi="Verdana"/>
          <w:color w:val="000000"/>
          <w:sz w:val="18"/>
          <w:szCs w:val="18"/>
          <w:lang w:val="en"/>
        </w:rPr>
        <w:t>Regarding the statement:</w:t>
      </w:r>
    </w:p>
    <w:p w:rsidR="00333E75" w:rsidRPr="00333E75" w:rsidRDefault="00333E75" w:rsidP="00333E75">
      <w:pPr>
        <w:pStyle w:val="NormalWeb"/>
        <w:spacing w:before="12" w:beforeAutospacing="0" w:after="120" w:afterAutospacing="0"/>
        <w:ind w:left="708" w:right="23"/>
        <w:rPr>
          <w:rFonts w:ascii="Verdana" w:hAnsi="Verdana"/>
          <w:color w:val="000000"/>
          <w:sz w:val="18"/>
          <w:szCs w:val="18"/>
          <w:lang w:val="en-US"/>
        </w:rPr>
      </w:pPr>
      <w:proofErr w:type="gramStart"/>
      <w:r w:rsidRPr="00333E75">
        <w:rPr>
          <w:rFonts w:ascii="Verdana" w:hAnsi="Verdana"/>
          <w:i/>
          <w:color w:val="000000"/>
          <w:sz w:val="18"/>
          <w:szCs w:val="18"/>
          <w:lang w:val="en"/>
        </w:rPr>
        <w:t>b</w:t>
      </w:r>
      <w:proofErr w:type="gramEnd"/>
      <w:r w:rsidRPr="00333E75">
        <w:rPr>
          <w:rFonts w:ascii="Verdana" w:hAnsi="Verdana"/>
          <w:i/>
          <w:color w:val="000000"/>
          <w:sz w:val="18"/>
          <w:szCs w:val="18"/>
          <w:lang w:val="en"/>
        </w:rPr>
        <w:t>) that, for regulatory option 3, we need to identify the 'main proposed application' for the spectrum not used by BDA2GC. I assume the application selected (either PMSE, PPDR, Terrestrial broadcast or satellite broadcast) would be the one giving the most points to the option, while keeping in mind that the adoption of the said application would not be mandatory at national level (maintain flexibility). It would just be the 'proxy application' to end up with a single note for regulatory option 3.</w:t>
      </w:r>
    </w:p>
    <w:p w:rsidR="00333E75" w:rsidRPr="00333E75" w:rsidRDefault="00333E75" w:rsidP="00333E75">
      <w:pPr>
        <w:pStyle w:val="NormalWeb"/>
        <w:spacing w:before="12" w:beforeAutospacing="0" w:after="120" w:afterAutospacing="0"/>
        <w:ind w:left="24" w:right="23"/>
        <w:rPr>
          <w:rFonts w:ascii="Verdana" w:hAnsi="Verdana"/>
          <w:color w:val="000000"/>
          <w:sz w:val="18"/>
          <w:szCs w:val="18"/>
          <w:lang w:val="en-US"/>
        </w:rPr>
      </w:pPr>
      <w:r w:rsidRPr="00333E75">
        <w:rPr>
          <w:rFonts w:ascii="Verdana" w:hAnsi="Verdana"/>
          <w:color w:val="000000"/>
          <w:sz w:val="18"/>
          <w:szCs w:val="18"/>
          <w:lang w:val="en"/>
        </w:rPr>
        <w:t>It is worth taking also into account that for regulatory option 3 the spectrum not used by BDA2GC might not restricted for the use of either PMSE, PPDR, Terrestrial broadcast or satellite broadcast, but also used for Mobile Broadband or Mobile SDL as required at national level.</w:t>
      </w:r>
    </w:p>
    <w:p w:rsidR="00333E75" w:rsidRPr="00333E75" w:rsidRDefault="00333E75" w:rsidP="00333E75">
      <w:pPr>
        <w:pStyle w:val="NormalWeb"/>
        <w:spacing w:before="12" w:beforeAutospacing="0" w:after="120" w:afterAutospacing="0"/>
        <w:ind w:left="24" w:right="23"/>
        <w:rPr>
          <w:rFonts w:ascii="Verdana" w:hAnsi="Verdana"/>
          <w:color w:val="000000"/>
          <w:sz w:val="18"/>
          <w:szCs w:val="18"/>
        </w:rPr>
      </w:pPr>
      <w:r w:rsidRPr="00333E75">
        <w:rPr>
          <w:rFonts w:ascii="Verdana" w:hAnsi="Verdana"/>
          <w:color w:val="000000"/>
          <w:sz w:val="18"/>
          <w:szCs w:val="18"/>
          <w:lang w:val="en"/>
        </w:rPr>
        <w:t>Kind Regards</w:t>
      </w:r>
    </w:p>
    <w:p w:rsidR="00333E75" w:rsidRPr="00333E75" w:rsidRDefault="00333E75" w:rsidP="00333E75">
      <w:pPr>
        <w:pStyle w:val="NormalWeb"/>
        <w:spacing w:before="12" w:beforeAutospacing="0" w:after="120" w:afterAutospacing="0"/>
        <w:ind w:left="24" w:right="23"/>
        <w:rPr>
          <w:rFonts w:ascii="Verdana" w:hAnsi="Verdana"/>
          <w:color w:val="000000"/>
          <w:sz w:val="18"/>
          <w:szCs w:val="18"/>
          <w:lang w:val="en"/>
        </w:rPr>
      </w:pPr>
      <w:r w:rsidRPr="00333E75">
        <w:rPr>
          <w:rFonts w:ascii="Verdana" w:hAnsi="Verdana"/>
          <w:color w:val="000000"/>
          <w:sz w:val="18"/>
          <w:szCs w:val="18"/>
          <w:lang w:val="en"/>
        </w:rPr>
        <w:t xml:space="preserve">Thomas </w:t>
      </w:r>
      <w:proofErr w:type="spellStart"/>
      <w:r w:rsidRPr="00333E75">
        <w:rPr>
          <w:rFonts w:ascii="Verdana" w:hAnsi="Verdana"/>
          <w:color w:val="000000"/>
          <w:sz w:val="18"/>
          <w:szCs w:val="18"/>
          <w:lang w:val="en"/>
        </w:rPr>
        <w:t>Rosowski</w:t>
      </w:r>
      <w:proofErr w:type="spellEnd"/>
    </w:p>
    <w:p w:rsidR="00333E75" w:rsidRDefault="00333E75" w:rsidP="00333E75">
      <w:pPr>
        <w:pStyle w:val="NormalWeb"/>
        <w:spacing w:before="12" w:beforeAutospacing="0" w:after="120" w:afterAutospacing="0"/>
        <w:ind w:left="24" w:right="23"/>
        <w:rPr>
          <w:rFonts w:ascii="Verdana" w:hAnsi="Verdana"/>
          <w:color w:val="000000"/>
          <w:sz w:val="18"/>
          <w:szCs w:val="18"/>
          <w:lang w:val="en"/>
        </w:rPr>
      </w:pPr>
      <w:r w:rsidRPr="00333E75">
        <w:rPr>
          <w:rFonts w:ascii="Verdana" w:hAnsi="Verdana"/>
          <w:color w:val="000000"/>
          <w:sz w:val="18"/>
          <w:szCs w:val="18"/>
          <w:lang w:val="en"/>
        </w:rPr>
        <w:t>“</w:t>
      </w:r>
    </w:p>
    <w:p w:rsidR="00333E75" w:rsidRDefault="00333E75" w:rsidP="00333E75">
      <w:r>
        <w:t>_______________________________________________________________________________________</w:t>
      </w:r>
    </w:p>
    <w:p w:rsidR="00333E75" w:rsidRPr="00333E75" w:rsidRDefault="00333E75" w:rsidP="00333E75">
      <w:r>
        <w:t xml:space="preserve">Guillaume Lebrun </w:t>
      </w:r>
    </w:p>
    <w:p w:rsidR="00333E75" w:rsidRDefault="00333E75" w:rsidP="00333E75">
      <w:pPr>
        <w:spacing w:after="0" w:line="240" w:lineRule="auto"/>
        <w:rPr>
          <w:rFonts w:ascii="Verdana" w:eastAsia="Times New Roman" w:hAnsi="Verdana" w:cs="Times New Roman"/>
          <w:color w:val="000000"/>
          <w:sz w:val="18"/>
          <w:szCs w:val="18"/>
          <w:lang w:val="en-US" w:eastAsia="da-DK"/>
        </w:rPr>
      </w:pPr>
      <w:r>
        <w:rPr>
          <w:rFonts w:ascii="Verdana" w:eastAsia="Times New Roman" w:hAnsi="Verdana" w:cs="Times New Roman"/>
          <w:color w:val="000000"/>
          <w:sz w:val="18"/>
          <w:szCs w:val="18"/>
          <w:lang w:val="en-US" w:eastAsia="da-DK"/>
        </w:rPr>
        <w:t>“</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Hello Thomas,</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Well, quite simply, no.</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Nobody (at least none of the mobile broadband/mobile SDL proponents in FM50) will develop equipment for the band if we know from the start that 20MHz are unusable. Without equipment there is no service.</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So very clearly, Mobile broadband/mobile SDL cannot be used under option 3.</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lastRenderedPageBreak/>
        <w:t>Come to think about it, it is also questionable that terrestrial broadcast would fit (they state in their description that they need the full 1452-1479.5) or even satellite broadcast (they require 25 MHz).</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So the choice is pretty much between PMSE and PPDR.</w:t>
      </w:r>
    </w:p>
    <w:p w:rsidR="00333E75" w:rsidRPr="00333E75" w:rsidRDefault="00333E75" w:rsidP="00333E75">
      <w:pPr>
        <w:spacing w:after="0" w:line="240" w:lineRule="auto"/>
        <w:rPr>
          <w:rFonts w:ascii="Verdana" w:eastAsia="Times New Roman" w:hAnsi="Verdana" w:cs="Times New Roman"/>
          <w:color w:val="000000"/>
          <w:sz w:val="18"/>
          <w:szCs w:val="18"/>
          <w:lang w:val="en-US" w:eastAsia="da-DK"/>
        </w:rPr>
      </w:pPr>
      <w:r w:rsidRPr="00333E75">
        <w:rPr>
          <w:rFonts w:ascii="Verdana" w:eastAsia="Times New Roman" w:hAnsi="Verdana" w:cs="Times New Roman"/>
          <w:color w:val="000000"/>
          <w:sz w:val="18"/>
          <w:szCs w:val="18"/>
          <w:lang w:val="en-US" w:eastAsia="da-DK"/>
        </w:rPr>
        <w:t>In any case, it will never be mobile SDL or mobile broadband under option 3.</w:t>
      </w:r>
    </w:p>
    <w:p w:rsidR="00333E75" w:rsidRDefault="00333E75" w:rsidP="00333E75">
      <w:pPr>
        <w:spacing w:after="75" w:line="240" w:lineRule="auto"/>
        <w:rPr>
          <w:rFonts w:ascii="Verdana" w:eastAsia="Times New Roman" w:hAnsi="Verdana" w:cs="Times New Roman"/>
          <w:color w:val="000000"/>
          <w:sz w:val="18"/>
          <w:szCs w:val="18"/>
          <w:lang w:eastAsia="da-DK"/>
        </w:rPr>
      </w:pPr>
    </w:p>
    <w:p w:rsidR="00333E75" w:rsidRPr="00333E75" w:rsidRDefault="00333E75" w:rsidP="00333E75">
      <w:pPr>
        <w:spacing w:after="75" w:line="240" w:lineRule="auto"/>
        <w:rPr>
          <w:rFonts w:ascii="Verdana" w:eastAsia="Times New Roman" w:hAnsi="Verdana" w:cs="Times New Roman"/>
          <w:color w:val="000000"/>
          <w:sz w:val="18"/>
          <w:szCs w:val="18"/>
          <w:lang w:eastAsia="da-DK"/>
        </w:rPr>
      </w:pPr>
      <w:r w:rsidRPr="00333E75">
        <w:rPr>
          <w:rFonts w:ascii="Verdana" w:eastAsia="Times New Roman" w:hAnsi="Verdana" w:cs="Times New Roman"/>
          <w:color w:val="000000"/>
          <w:sz w:val="18"/>
          <w:szCs w:val="18"/>
          <w:lang w:eastAsia="da-DK"/>
        </w:rPr>
        <w:t>Guillaume</w:t>
      </w:r>
    </w:p>
    <w:p w:rsidR="00333E75" w:rsidRPr="00333E75" w:rsidRDefault="00333E75">
      <w:pPr>
        <w:rPr>
          <w:rFonts w:ascii="Verdana" w:hAnsi="Verdana"/>
          <w:sz w:val="18"/>
          <w:szCs w:val="18"/>
        </w:rPr>
      </w:pPr>
      <w:r>
        <w:rPr>
          <w:rFonts w:ascii="Verdana" w:hAnsi="Verdana"/>
          <w:sz w:val="18"/>
          <w:szCs w:val="18"/>
        </w:rPr>
        <w:t>”</w:t>
      </w:r>
      <w:bookmarkStart w:id="0" w:name="_GoBack"/>
      <w:bookmarkEnd w:id="0"/>
    </w:p>
    <w:sectPr w:rsidR="00333E75" w:rsidRPr="00333E7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E75"/>
    <w:rsid w:val="00146D46"/>
    <w:rsid w:val="0024440B"/>
    <w:rsid w:val="00333E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3E75"/>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3E75"/>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1712">
      <w:bodyDiv w:val="1"/>
      <w:marLeft w:val="0"/>
      <w:marRight w:val="0"/>
      <w:marTop w:val="75"/>
      <w:marBottom w:val="75"/>
      <w:divBdr>
        <w:top w:val="none" w:sz="0" w:space="0" w:color="auto"/>
        <w:left w:val="none" w:sz="0" w:space="0" w:color="auto"/>
        <w:bottom w:val="none" w:sz="0" w:space="0" w:color="auto"/>
        <w:right w:val="none" w:sz="0" w:space="0" w:color="auto"/>
      </w:divBdr>
      <w:divsChild>
        <w:div w:id="1198857014">
          <w:marLeft w:val="30"/>
          <w:marRight w:val="30"/>
          <w:marTop w:val="30"/>
          <w:marBottom w:val="30"/>
          <w:divBdr>
            <w:top w:val="none" w:sz="0" w:space="0" w:color="auto"/>
            <w:left w:val="none" w:sz="0" w:space="0" w:color="auto"/>
            <w:bottom w:val="none" w:sz="0" w:space="0" w:color="auto"/>
            <w:right w:val="none" w:sz="0" w:space="0" w:color="auto"/>
          </w:divBdr>
          <w:divsChild>
            <w:div w:id="2078896291">
              <w:marLeft w:val="0"/>
              <w:marRight w:val="0"/>
              <w:marTop w:val="0"/>
              <w:marBottom w:val="0"/>
              <w:divBdr>
                <w:top w:val="none" w:sz="0" w:space="0" w:color="auto"/>
                <w:left w:val="none" w:sz="0" w:space="0" w:color="auto"/>
                <w:bottom w:val="none" w:sz="0" w:space="0" w:color="auto"/>
                <w:right w:val="none" w:sz="0" w:space="0" w:color="auto"/>
              </w:divBdr>
            </w:div>
            <w:div w:id="1102609501">
              <w:marLeft w:val="0"/>
              <w:marRight w:val="0"/>
              <w:marTop w:val="0"/>
              <w:marBottom w:val="0"/>
              <w:divBdr>
                <w:top w:val="none" w:sz="0" w:space="0" w:color="auto"/>
                <w:left w:val="none" w:sz="0" w:space="0" w:color="auto"/>
                <w:bottom w:val="none" w:sz="0" w:space="0" w:color="auto"/>
                <w:right w:val="none" w:sz="0" w:space="0" w:color="auto"/>
              </w:divBdr>
            </w:div>
            <w:div w:id="691230144">
              <w:marLeft w:val="0"/>
              <w:marRight w:val="0"/>
              <w:marTop w:val="0"/>
              <w:marBottom w:val="0"/>
              <w:divBdr>
                <w:top w:val="none" w:sz="0" w:space="0" w:color="auto"/>
                <w:left w:val="none" w:sz="0" w:space="0" w:color="auto"/>
                <w:bottom w:val="none" w:sz="0" w:space="0" w:color="auto"/>
                <w:right w:val="none" w:sz="0" w:space="0" w:color="auto"/>
              </w:divBdr>
            </w:div>
            <w:div w:id="1503930496">
              <w:marLeft w:val="0"/>
              <w:marRight w:val="0"/>
              <w:marTop w:val="0"/>
              <w:marBottom w:val="0"/>
              <w:divBdr>
                <w:top w:val="none" w:sz="0" w:space="0" w:color="auto"/>
                <w:left w:val="none" w:sz="0" w:space="0" w:color="auto"/>
                <w:bottom w:val="none" w:sz="0" w:space="0" w:color="auto"/>
                <w:right w:val="none" w:sz="0" w:space="0" w:color="auto"/>
              </w:divBdr>
            </w:div>
            <w:div w:id="1419399656">
              <w:marLeft w:val="0"/>
              <w:marRight w:val="0"/>
              <w:marTop w:val="0"/>
              <w:marBottom w:val="0"/>
              <w:divBdr>
                <w:top w:val="none" w:sz="0" w:space="0" w:color="auto"/>
                <w:left w:val="none" w:sz="0" w:space="0" w:color="auto"/>
                <w:bottom w:val="none" w:sz="0" w:space="0" w:color="auto"/>
                <w:right w:val="none" w:sz="0" w:space="0" w:color="auto"/>
              </w:divBdr>
            </w:div>
            <w:div w:id="1180774942">
              <w:marLeft w:val="0"/>
              <w:marRight w:val="0"/>
              <w:marTop w:val="0"/>
              <w:marBottom w:val="0"/>
              <w:divBdr>
                <w:top w:val="none" w:sz="0" w:space="0" w:color="auto"/>
                <w:left w:val="none" w:sz="0" w:space="0" w:color="auto"/>
                <w:bottom w:val="none" w:sz="0" w:space="0" w:color="auto"/>
                <w:right w:val="none" w:sz="0" w:space="0" w:color="auto"/>
              </w:divBdr>
            </w:div>
            <w:div w:id="112245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40758">
      <w:bodyDiv w:val="1"/>
      <w:marLeft w:val="0"/>
      <w:marRight w:val="0"/>
      <w:marTop w:val="75"/>
      <w:marBottom w:val="75"/>
      <w:divBdr>
        <w:top w:val="none" w:sz="0" w:space="0" w:color="auto"/>
        <w:left w:val="none" w:sz="0" w:space="0" w:color="auto"/>
        <w:bottom w:val="none" w:sz="0" w:space="0" w:color="auto"/>
        <w:right w:val="none" w:sz="0" w:space="0" w:color="auto"/>
      </w:divBdr>
      <w:divsChild>
        <w:div w:id="948970471">
          <w:marLeft w:val="30"/>
          <w:marRight w:val="30"/>
          <w:marTop w:val="30"/>
          <w:marBottom w:val="30"/>
          <w:divBdr>
            <w:top w:val="none" w:sz="0" w:space="0" w:color="auto"/>
            <w:left w:val="none" w:sz="0" w:space="0" w:color="auto"/>
            <w:bottom w:val="none" w:sz="0" w:space="0" w:color="auto"/>
            <w:right w:val="none" w:sz="0" w:space="0" w:color="auto"/>
          </w:divBdr>
        </w:div>
      </w:divsChild>
    </w:div>
    <w:div w:id="1864633450">
      <w:bodyDiv w:val="1"/>
      <w:marLeft w:val="0"/>
      <w:marRight w:val="0"/>
      <w:marTop w:val="75"/>
      <w:marBottom w:val="75"/>
      <w:divBdr>
        <w:top w:val="none" w:sz="0" w:space="0" w:color="auto"/>
        <w:left w:val="none" w:sz="0" w:space="0" w:color="auto"/>
        <w:bottom w:val="none" w:sz="0" w:space="0" w:color="auto"/>
        <w:right w:val="none" w:sz="0" w:space="0" w:color="auto"/>
      </w:divBdr>
      <w:divsChild>
        <w:div w:id="2139909581">
          <w:marLeft w:val="30"/>
          <w:marRight w:val="30"/>
          <w:marTop w:val="30"/>
          <w:marBottom w:val="30"/>
          <w:divBdr>
            <w:top w:val="none" w:sz="0" w:space="0" w:color="auto"/>
            <w:left w:val="none" w:sz="0" w:space="0" w:color="auto"/>
            <w:bottom w:val="none" w:sz="0" w:space="0" w:color="auto"/>
            <w:right w:val="none" w:sz="0" w:space="0" w:color="auto"/>
          </w:divBdr>
          <w:divsChild>
            <w:div w:id="1353341095">
              <w:marLeft w:val="0"/>
              <w:marRight w:val="0"/>
              <w:marTop w:val="0"/>
              <w:marBottom w:val="0"/>
              <w:divBdr>
                <w:top w:val="none" w:sz="0" w:space="0" w:color="auto"/>
                <w:left w:val="none" w:sz="0" w:space="0" w:color="auto"/>
                <w:bottom w:val="none" w:sz="0" w:space="0" w:color="auto"/>
                <w:right w:val="none" w:sz="0" w:space="0" w:color="auto"/>
              </w:divBdr>
            </w:div>
            <w:div w:id="389039827">
              <w:marLeft w:val="0"/>
              <w:marRight w:val="0"/>
              <w:marTop w:val="0"/>
              <w:marBottom w:val="0"/>
              <w:divBdr>
                <w:top w:val="none" w:sz="0" w:space="0" w:color="auto"/>
                <w:left w:val="none" w:sz="0" w:space="0" w:color="auto"/>
                <w:bottom w:val="none" w:sz="0" w:space="0" w:color="auto"/>
                <w:right w:val="none" w:sz="0" w:space="0" w:color="auto"/>
              </w:divBdr>
            </w:div>
            <w:div w:id="520045560">
              <w:marLeft w:val="0"/>
              <w:marRight w:val="0"/>
              <w:marTop w:val="0"/>
              <w:marBottom w:val="0"/>
              <w:divBdr>
                <w:top w:val="none" w:sz="0" w:space="0" w:color="auto"/>
                <w:left w:val="none" w:sz="0" w:space="0" w:color="auto"/>
                <w:bottom w:val="none" w:sz="0" w:space="0" w:color="auto"/>
                <w:right w:val="none" w:sz="0" w:space="0" w:color="auto"/>
              </w:divBdr>
            </w:div>
            <w:div w:id="587273764">
              <w:marLeft w:val="0"/>
              <w:marRight w:val="0"/>
              <w:marTop w:val="0"/>
              <w:marBottom w:val="0"/>
              <w:divBdr>
                <w:top w:val="none" w:sz="0" w:space="0" w:color="auto"/>
                <w:left w:val="none" w:sz="0" w:space="0" w:color="auto"/>
                <w:bottom w:val="none" w:sz="0" w:space="0" w:color="auto"/>
                <w:right w:val="none" w:sz="0" w:space="0" w:color="auto"/>
              </w:divBdr>
            </w:div>
            <w:div w:id="2514439">
              <w:marLeft w:val="0"/>
              <w:marRight w:val="0"/>
              <w:marTop w:val="0"/>
              <w:marBottom w:val="0"/>
              <w:divBdr>
                <w:top w:val="none" w:sz="0" w:space="0" w:color="auto"/>
                <w:left w:val="none" w:sz="0" w:space="0" w:color="auto"/>
                <w:bottom w:val="none" w:sz="0" w:space="0" w:color="auto"/>
                <w:right w:val="none" w:sz="0" w:space="0" w:color="auto"/>
              </w:divBdr>
            </w:div>
            <w:div w:id="1221788259">
              <w:marLeft w:val="0"/>
              <w:marRight w:val="0"/>
              <w:marTop w:val="0"/>
              <w:marBottom w:val="0"/>
              <w:divBdr>
                <w:top w:val="none" w:sz="0" w:space="0" w:color="auto"/>
                <w:left w:val="none" w:sz="0" w:space="0" w:color="auto"/>
                <w:bottom w:val="none" w:sz="0" w:space="0" w:color="auto"/>
                <w:right w:val="none" w:sz="0" w:space="0" w:color="auto"/>
              </w:divBdr>
            </w:div>
            <w:div w:id="569733205">
              <w:marLeft w:val="0"/>
              <w:marRight w:val="0"/>
              <w:marTop w:val="0"/>
              <w:marBottom w:val="0"/>
              <w:divBdr>
                <w:top w:val="none" w:sz="0" w:space="0" w:color="auto"/>
                <w:left w:val="none" w:sz="0" w:space="0" w:color="auto"/>
                <w:bottom w:val="none" w:sz="0" w:space="0" w:color="auto"/>
                <w:right w:val="none" w:sz="0" w:space="0" w:color="auto"/>
              </w:divBdr>
            </w:div>
            <w:div w:id="50228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439</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Le Devendec</dc:creator>
  <cp:lastModifiedBy>Marc Le Devendec</cp:lastModifiedBy>
  <cp:revision>1</cp:revision>
  <dcterms:created xsi:type="dcterms:W3CDTF">2012-05-18T08:46:00Z</dcterms:created>
  <dcterms:modified xsi:type="dcterms:W3CDTF">2012-05-18T08:50:00Z</dcterms:modified>
</cp:coreProperties>
</file>